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План финансово-хозяйственной деятельности на 2022 г.</w:t>
      </w:r>
      <w:bookmarkEnd w:id="0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 2022 г. и плановый период 2023 г. и 2024 годов)</w:t>
      </w:r>
      <w:bookmarkEnd w:id="2"/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431" w:right="638" w:bottom="307" w:left="525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446405" distB="640080" distL="0" distR="0" simplePos="0" relativeHeight="125829378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ragraph">
                  <wp:posOffset>446405</wp:posOffset>
                </wp:positionV>
                <wp:extent cx="1871345" cy="10350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71345" cy="103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Орган, осуществлюящий функции и полномочия учредителя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.pt;margin-top:35.149999999999999pt;width:147.34999999999999pt;height:8.1500000000000004pt;z-index:-125829375;mso-wrap-distance-left:0;mso-wrap-distance-top:35.149999999999999pt;mso-wrap-distance-right:0;mso-wrap-distance-bottom:50.39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Орган, осуществлюящий функции и полномочия учредителя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54965" distB="643255" distL="0" distR="0" simplePos="0" relativeHeight="125829380" behindDoc="0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354965</wp:posOffset>
                </wp:positionV>
                <wp:extent cx="2267585" cy="19177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6758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Муниципальное казенное учреждение "Управление образования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Исполнительного комитета муниципального образования города Казани"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16.30000000000001pt;margin-top:27.949999999999999pt;width:178.55000000000001pt;height:15.1pt;z-index:-125829373;mso-wrap-distance-left:0;mso-wrap-distance-top:27.949999999999999pt;mso-wrap-distance-right:0;mso-wrap-distance-bottom:50.64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Муниципальное казенное учреждение "Управление образования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Исполнительного комитета муниципального образования города Казани"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967740" distB="0" distL="0" distR="0" simplePos="0" relativeHeight="125829382" behindDoc="0" locked="0" layoutInCell="1" allowOverlap="1">
                <wp:simplePos x="0" y="0"/>
                <wp:positionH relativeFrom="page">
                  <wp:posOffset>333375</wp:posOffset>
                </wp:positionH>
                <wp:positionV relativeFrom="paragraph">
                  <wp:posOffset>967740</wp:posOffset>
                </wp:positionV>
                <wp:extent cx="880745" cy="22225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0745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Учреждение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Единица измерения: рублей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26.25pt;margin-top:76.200000000000003pt;width:69.350000000000009pt;height:17.5pt;z-index:-125829371;mso-wrap-distance-left:0;mso-wrap-distance-top:76.200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Учреждение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Единица измерения: рублей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96925" distB="112395" distL="0" distR="0" simplePos="0" relativeHeight="125829384" behindDoc="0" locked="0" layoutInCell="1" allowOverlap="1">
                <wp:simplePos x="0" y="0"/>
                <wp:positionH relativeFrom="page">
                  <wp:posOffset>2747010</wp:posOffset>
                </wp:positionH>
                <wp:positionV relativeFrom="paragraph">
                  <wp:posOffset>796925</wp:posOffset>
                </wp:positionV>
                <wp:extent cx="2310130" cy="280670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10130" cy="2806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Муниципальное бюджетное дошкольное образовательное учреждение "Детский сад № 134 комбинированного вида с татарским языком воспитания и обучения " Кировского района 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16.30000000000001pt;margin-top:62.75pt;width:181.90000000000001pt;height:22.100000000000001pt;z-index:-125829369;mso-wrap-distance-left:0;mso-wrap-distance-top:62.75pt;mso-wrap-distance-right:0;mso-wrap-distance-bottom:8.8499999999999996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Муниципальное бюджетное дошкольное образовательное учреждение "Детский сад № 134 комбинированного вида с татарским языком воспитания и обучения " Кировского района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8100" distB="2540" distL="0" distR="0" simplePos="0" relativeHeight="125829386" behindDoc="0" locked="0" layoutInCell="1" allowOverlap="1">
                <wp:simplePos x="0" y="0"/>
                <wp:positionH relativeFrom="page">
                  <wp:posOffset>5819775</wp:posOffset>
                </wp:positionH>
                <wp:positionV relativeFrom="paragraph">
                  <wp:posOffset>38100</wp:posOffset>
                </wp:positionV>
                <wp:extent cx="1319530" cy="1149350"/>
                <wp:wrapTopAndBottom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9530" cy="1149350"/>
                        </a:xfrm>
                        <a:prstGeom prst="rect"/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jc w:val="left"/>
                              <w:tblLayout w:type="fixed"/>
                            </w:tblPr>
                            <w:tblGrid>
                              <w:gridCol w:w="1066"/>
                              <w:gridCol w:w="1013"/>
                            </w:tblGrid>
                            <w:tr>
                              <w:trPr>
                                <w:tblHeader/>
                                <w:trHeight w:val="192" w:hRule="exact"/>
                              </w:trPr>
                              <w:tc>
                                <w:tcPr>
                                  <w:vMerge w:val="restart"/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2" w:hRule="exact"/>
                              </w:trPr>
                              <w:tc>
                                <w:tcPr>
                                  <w:vMerge/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/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01.02.2022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6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глава по БК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000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ИНН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1656089886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2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КПП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165601001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2" w:hRule="exact"/>
                              </w:trPr>
                              <w:tc>
                                <w:tcPr>
                                  <w:tcBorders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поОКЕИ</w:t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sz="4"/>
                                    <w:left w:val="single" w:sz="4"/>
                                    <w:bottom w:val="single" w:sz="4"/>
                                    <w:right w:val="single" w:sz="4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pStyle w:val="Style5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hd w:val="clear" w:color="auto" w:fill="auto"/>
                                      <w:lang w:val="ru-RU" w:eastAsia="ru-RU" w:bidi="ru-RU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58.25pt;margin-top:3.pt;width:103.90000000000001pt;height:90.5pt;z-index:-125829367;mso-wrap-distance-left:0;mso-wrap-distance-top:3.pt;mso-wrap-distance-right:0;mso-wrap-distance-bottom:0.20000000000000001pt;mso-position-horizontal-relative:page" filled="f" stroked="f">
                <v:textbox inset="0,0,0,0">
                  <w:txbxContent>
                    <w:tbl>
                      <w:tblPr>
                        <w:tblOverlap w:val="never"/>
                        <w:jc w:val="left"/>
                        <w:tblLayout w:type="fixed"/>
                      </w:tblPr>
                      <w:tblGrid>
                        <w:gridCol w:w="1066"/>
                        <w:gridCol w:w="1013"/>
                      </w:tblGrid>
                      <w:tr>
                        <w:trPr>
                          <w:tblHeader/>
                          <w:trHeight w:val="192" w:hRule="exact"/>
                        </w:trPr>
                        <w:tc>
                          <w:tcPr>
                            <w:vMerge w:val="restart"/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192" w:hRule="exact"/>
                        </w:trPr>
                        <w:tc>
                          <w:tcPr>
                            <w:vMerge/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/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01.02.2022</w:t>
                            </w:r>
                          </w:p>
                        </w:tc>
                      </w:tr>
                      <w:tr>
                        <w:trPr>
                          <w:trHeight w:val="197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6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глава по БК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000</w:t>
                            </w:r>
                          </w:p>
                        </w:tc>
                      </w:tr>
                      <w:tr>
                        <w:trPr>
                          <w:trHeight w:val="197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ИНН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1656089886</w:t>
                            </w:r>
                          </w:p>
                        </w:tc>
                      </w:tr>
                      <w:tr>
                        <w:trPr>
                          <w:trHeight w:val="422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КПП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165601001</w:t>
                            </w:r>
                          </w:p>
                        </w:tc>
                      </w:tr>
                      <w:tr>
                        <w:trPr>
                          <w:trHeight w:val="202" w:hRule="exact"/>
                        </w:trPr>
                        <w:tc>
                          <w:tcPr>
                            <w:tcBorders/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поОКЕИ</w:t>
                            </w:r>
                          </w:p>
                        </w:tc>
                        <w:tc>
                          <w:tcPr>
                            <w:tcBorders>
                              <w:top w:val="single" w:sz="4"/>
                              <w:left w:val="single" w:sz="4"/>
                              <w:bottom w:val="single" w:sz="4"/>
                              <w:right w:val="single" w:sz="4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before="57" w:after="57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328" w:right="0" w:bottom="41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589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Поступления и выплаты</w:t>
      </w:r>
    </w:p>
    <w:tbl>
      <w:tblPr>
        <w:tblOverlap w:val="never"/>
        <w:jc w:val="center"/>
        <w:tblLayout w:type="fixed"/>
      </w:tblPr>
      <w:tblGrid>
        <w:gridCol w:w="3811"/>
        <w:gridCol w:w="648"/>
        <w:gridCol w:w="1003"/>
        <w:gridCol w:w="1022"/>
        <w:gridCol w:w="1022"/>
        <w:gridCol w:w="998"/>
        <w:gridCol w:w="1210"/>
        <w:gridCol w:w="1022"/>
      </w:tblGrid>
      <w:tr>
        <w:trPr>
          <w:trHeight w:val="28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показателя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Код строки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Код по бюджетной классификации Российской Федерации &lt;3&gt;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Аналитический код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&lt;4&gt;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Сумма</w:t>
            </w:r>
          </w:p>
        </w:tc>
      </w:tr>
      <w:tr>
        <w:trPr>
          <w:trHeight w:val="1013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2022 г. (текущий финансовый год)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2023 г. (первый год планового периода)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2024 г. (второй год планового периода)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пределами планового периода</w:t>
            </w:r>
          </w:p>
        </w:tc>
      </w:tr>
      <w:tr>
        <w:trPr>
          <w:trHeight w:val="20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</w:t>
            </w: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Остаток средств на начало текущего финансового года &lt;5&gt;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1295892,75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1295892,75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1295892,75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Остаток средств на конец текущего финансового года &lt;5&gt;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0002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- всего: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39555477,19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39555477,19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39555477,19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собственности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22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оказания услуг, работ, компенсации затрат учреждений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39555477,19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39555477,19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39555477,19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субсидии на финансовое обеспечение выполнения государственного задания за счет средств бюджета публично-правового образования, создавшего учреждение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38185477,19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38185477,19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38185477,19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оказания платных услуг (работ)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1370000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1370000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1370000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штрафов, пеней, иных сумм принудительного изъятия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безвозмездные денежные поступления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целевые субсидии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субсидии на осуществление капитальных вложений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1420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доходы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4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операций с активами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посупления - всего &lt;6&gt;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 них: и прошлых лет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Расходы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40851369,94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40851369,94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40851369,94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выплату персоналу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24778299,63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24778299,63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24778299,63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оплата труда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19030952,09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19030952,09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19030952,09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взносы по обязательному социальному страхованию на выплаты по оплате труда работников и иные выплаты работников учреждений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5747347,54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5747347,54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5747347,54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выплаты по оплате труда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5747347,54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5747347,54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5747347,54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иные выплаты работникам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2170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36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оплату труда стажеров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иные выплаты гражданским лицам (денежное содержание)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2182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социальные и иные выплаты населению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социальные выплаты гражданам, кроме публичных нормативных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tabs>
                <w:tab w:leader="underscore" w:pos="3771" w:val="left"/>
              </w:tabs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социальных выплат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3806"/>
        <w:gridCol w:w="653"/>
        <w:gridCol w:w="998"/>
        <w:gridCol w:w="1022"/>
        <w:gridCol w:w="1022"/>
        <w:gridCol w:w="998"/>
        <w:gridCol w:w="1214"/>
        <w:gridCol w:w="1008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 них: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6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6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уплата налогов, сборов и иных платежей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3086780,35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3086780,35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3086780,35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 них: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имущество организаций и земельный налог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3086780,35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3086780,35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3086780,35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4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безвозмездные перечисления организациям и физическим лицам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 них: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взносы в международные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4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863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выплаты (кроме выплат на закупку товаров, работ, услуг)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50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2520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831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расходы на закупку товаров, работ, услуг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закупку научно-исследовательских и опытно-конструкторских работ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закупку товаров, работ, услуг в сфере информационно</w:t>
              <w:softHyphen/>
              <w:t>коммуникационных технологий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закупку товаров, работ, услуг в целях капитального ремонта государственного имущества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прочую закупку товаров, работ и услуг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11200882,96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11200882,96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11200882,96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 них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Услуги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118890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118890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118890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Коммунальные услуги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437550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437550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437550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Работы, услуги по содержанию имущества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456315,93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456315,93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456315,93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работы, услуги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9173085,09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9173085,09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9173085,09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Страхование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Увеличение стоимости основных средств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231000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231000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231000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Увеличение стоимости лекарственных препаратов и материалов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29203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29203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29203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Увеличение стоимости мягкого инвентаря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56300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Увеличение стоимости прочих материальных запасов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697038,94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697038,94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697038,94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7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закупку энергетических ресурсов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1785407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1785407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1785407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44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капитальные вложения в объекты государственной собственности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6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приобретение объектов недвижимого имущества государственными учреждениями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66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строительство (реконструкция) объектов недвижимого имущества государственными учреждениями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2720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Выплаты, уменьшающие доход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прибыль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ЗОЮ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добавленную стоимость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налоги, уменьшающие доход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3030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Прочие выплаты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из них: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возврат в бюджет средств субсидии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4010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2. Сведения по выплатам на закупки товаров, работ, услуг &lt;10&gt;</w:t>
      </w:r>
    </w:p>
    <w:tbl>
      <w:tblPr>
        <w:tblOverlap w:val="never"/>
        <w:jc w:val="center"/>
        <w:tblLayout w:type="fixed"/>
      </w:tblPr>
      <w:tblGrid>
        <w:gridCol w:w="4459"/>
        <w:gridCol w:w="998"/>
        <w:gridCol w:w="1022"/>
        <w:gridCol w:w="1022"/>
        <w:gridCol w:w="998"/>
        <w:gridCol w:w="1214"/>
        <w:gridCol w:w="1013"/>
      </w:tblGrid>
      <w:tr>
        <w:trPr>
          <w:trHeight w:val="31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показателя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Код строки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Год начала закупки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Сумма</w:t>
            </w:r>
          </w:p>
        </w:tc>
      </w:tr>
      <w:tr>
        <w:trPr>
          <w:trHeight w:val="763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2022 г. (текущий финансовый год)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2023 г. (первый год планового периода)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 2024 г. (второй год планового периода)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пределами планового периода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4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Выплаты на закупки товаров, работ, услуг - 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года И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от 5 апреля 2013 года 44-ФЗ "О контрактной системе в сфере закупок товаров, работ, услуг для обеспечения государственных и муниципальных нужд" (далее Федеральный закон №44-ФЗ) и Федерального закона от 18 июля 2011 года К 223-ФЗ "О закупках товаров, работ, услуг отдельными видами юридических лиц" (далее Федеральный закон №223-Ф3)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26200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контрактам (договорам), заключенным до начала текущего финансового года с учетом требований Федерального закона от 5 апреля 2013 гада 44-ФЗ и Федерального закона от 18 июля 2011 года М 223-ФЗ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5 апреля 2013 года М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26310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18 июля 2011 года 223-ФЗ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26320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2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от 5 апреля 2013 года И 44-ФЗ и Федерального закона от 18 июля 2011 года М 223-ФЗ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субсидий, предоставляемых на финансовое обеспечение выполнения государственного задания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5 апреля 2013 года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18 июля 2011 года М 223-ФЗ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субсидий, предоставляемых в соответствии с абзацем вторым пункта 1 статьи 78.1 Бюджетного кодекса РоссийскойФедерации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46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5 апреля 2013 года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18 июля 2011 года М 223-ФЗ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средств обязательного медицинского страхования 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5 апреля 2013 года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18 июля 2011 года 223-ФЗ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4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 счет прочих источников финансового обеспечения в том числе: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5 апреля 2013 года И 44-ФЗ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26451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соответствии с Федеральным законом от 18 июля 2011 года И 223-ФЗ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26452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 по контрактам, планируемым к заключению в соответствующем финансовом году в соответствии с Федеральным законом от 5 апреля 2013 года М 44-ФЗ, по соответствующему году закупки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 по году начала закупки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26510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12986289,96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Итого по договорам, планируемым к заключению в соответствующем финансовом году в соответствии с Федеральным законом от 18 июля 2011 года 223-ФЗ, по соответствующему году закупки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26600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 том числе по году начала закупки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931410" cy="1450975"/>
            <wp:docPr id="11" name="Picut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4931410" cy="145097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328" w:right="547" w:bottom="410" w:left="615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harStyle6">
    <w:name w:val="Другое_"/>
    <w:basedOn w:val="DefaultParagraphFont"/>
    <w:link w:val="Style5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harStyle8">
    <w:name w:val="Заголовок №1_"/>
    <w:basedOn w:val="DefaultParagraphFont"/>
    <w:link w:val="Style7"/>
    <w:rPr>
      <w:rFonts w:ascii="Tahoma" w:eastAsia="Tahoma" w:hAnsi="Tahoma" w:cs="Tahom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0">
    <w:name w:val="Заголовок №2_"/>
    <w:basedOn w:val="DefaultParagraphFont"/>
    <w:link w:val="Style9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12">
    <w:name w:val="Подпись к таблице_"/>
    <w:basedOn w:val="DefaultParagraphFont"/>
    <w:link w:val="Style11"/>
    <w:rPr>
      <w:rFonts w:ascii="Tahoma" w:eastAsia="Tahoma" w:hAnsi="Tahoma" w:cs="Tahoma"/>
      <w:b/>
      <w:bCs/>
      <w:i w:val="0"/>
      <w:iCs w:val="0"/>
      <w:smallCaps w:val="0"/>
      <w:strike w:val="0"/>
      <w:sz w:val="10"/>
      <w:szCs w:val="1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auto"/>
      <w:jc w:val="center"/>
      <w:outlineLvl w:val="0"/>
    </w:pPr>
    <w:rPr>
      <w:rFonts w:ascii="Tahoma" w:eastAsia="Tahoma" w:hAnsi="Tahoma" w:cs="Tahoma"/>
      <w:b/>
      <w:bCs/>
      <w:i w:val="0"/>
      <w:iCs w:val="0"/>
      <w:smallCaps w:val="0"/>
      <w:strike w:val="0"/>
      <w:sz w:val="13"/>
      <w:szCs w:val="13"/>
      <w:u w:val="none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auto"/>
      <w:jc w:val="center"/>
      <w:outlineLvl w:val="1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11">
    <w:name w:val="Подпись к таблице"/>
    <w:basedOn w:val="Normal"/>
    <w:link w:val="CharStyle12"/>
    <w:pPr>
      <w:widowControl w:val="0"/>
      <w:shd w:val="clear" w:color="auto" w:fill="auto"/>
    </w:pPr>
    <w:rPr>
      <w:rFonts w:ascii="Tahoma" w:eastAsia="Tahoma" w:hAnsi="Tahoma" w:cs="Tahoma"/>
      <w:b/>
      <w:bCs/>
      <w:i w:val="0"/>
      <w:iCs w:val="0"/>
      <w:smallCaps w:val="0"/>
      <w:strike w:val="0"/>
      <w:sz w:val="10"/>
      <w:szCs w:val="1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